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C4" w:rsidRPr="006762C4" w:rsidRDefault="006762C4" w:rsidP="006762C4">
      <w:pPr>
        <w:widowControl/>
        <w:shd w:val="clear" w:color="auto" w:fill="FFFFFF"/>
        <w:spacing w:before="100" w:beforeAutospacing="1" w:afterLines="100" w:line="580" w:lineRule="exact"/>
        <w:ind w:firstLine="480"/>
        <w:rPr>
          <w:rFonts w:ascii="宋体" w:eastAsia="宋体" w:hAnsi="宋体" w:cs="宋体"/>
          <w:kern w:val="0"/>
          <w:sz w:val="24"/>
          <w:szCs w:val="24"/>
        </w:rPr>
      </w:pPr>
      <w:r w:rsidRPr="006762C4">
        <w:rPr>
          <w:rFonts w:ascii="黑体" w:eastAsia="黑体" w:hAnsi="黑体" w:cs="仿宋" w:hint="eastAsia"/>
          <w:spacing w:val="10"/>
          <w:sz w:val="32"/>
          <w:szCs w:val="32"/>
        </w:rPr>
        <w:t>附</w:t>
      </w:r>
      <w:r w:rsidRPr="006762C4">
        <w:rPr>
          <w:rFonts w:ascii="黑体" w:eastAsia="黑体" w:hAnsi="仿宋" w:cs="仿宋" w:hint="eastAsia"/>
          <w:spacing w:val="10"/>
          <w:sz w:val="32"/>
          <w:szCs w:val="32"/>
        </w:rPr>
        <w:t xml:space="preserve">  </w:t>
      </w:r>
      <w:r w:rsidRPr="006762C4">
        <w:rPr>
          <w:rFonts w:ascii="黑体" w:eastAsia="黑体" w:hAnsi="黑体" w:cs="仿宋" w:hint="eastAsia"/>
          <w:spacing w:val="10"/>
          <w:sz w:val="32"/>
          <w:szCs w:val="32"/>
        </w:rPr>
        <w:t>件</w:t>
      </w:r>
    </w:p>
    <w:p w:rsidR="006762C4" w:rsidRPr="006762C4" w:rsidRDefault="006762C4" w:rsidP="006762C4">
      <w:pPr>
        <w:widowControl/>
        <w:shd w:val="clear" w:color="auto" w:fill="FFFFFF"/>
        <w:spacing w:before="100" w:beforeAutospacing="1" w:after="100" w:afterAutospacing="1" w:line="700" w:lineRule="exact"/>
        <w:ind w:firstLine="480"/>
        <w:jc w:val="center"/>
        <w:rPr>
          <w:rFonts w:ascii="宋体" w:eastAsia="宋体" w:hAnsi="宋体" w:cs="宋体"/>
          <w:kern w:val="0"/>
          <w:sz w:val="24"/>
          <w:szCs w:val="24"/>
        </w:rPr>
      </w:pPr>
      <w:r w:rsidRPr="006762C4">
        <w:rPr>
          <w:rFonts w:ascii="方正小标宋_GBK" w:eastAsia="方正小标宋_GBK" w:hAnsi="仿宋" w:cs="仿宋" w:hint="eastAsia"/>
          <w:spacing w:val="10"/>
          <w:sz w:val="44"/>
          <w:szCs w:val="44"/>
        </w:rPr>
        <w:t>市政府决定清理规范的市直部门行政审批中介服务事项目录</w:t>
      </w:r>
    </w:p>
    <w:p w:rsidR="006762C4" w:rsidRPr="006762C4" w:rsidRDefault="006762C4" w:rsidP="006762C4">
      <w:pPr>
        <w:widowControl/>
        <w:shd w:val="clear" w:color="auto" w:fill="FFFFFF"/>
        <w:spacing w:before="100" w:beforeAutospacing="1" w:afterLines="50" w:line="700" w:lineRule="exact"/>
        <w:ind w:firstLine="480"/>
        <w:jc w:val="center"/>
        <w:rPr>
          <w:rFonts w:ascii="宋体" w:eastAsia="宋体" w:hAnsi="宋体" w:cs="宋体"/>
          <w:kern w:val="0"/>
          <w:sz w:val="24"/>
          <w:szCs w:val="24"/>
        </w:rPr>
      </w:pPr>
      <w:r w:rsidRPr="006762C4">
        <w:rPr>
          <w:rFonts w:ascii="楷体_GB2312" w:eastAsia="楷体_GB2312" w:hAnsi="宋体" w:cs="宋体" w:hint="eastAsia"/>
          <w:b/>
          <w:bCs/>
          <w:spacing w:val="10"/>
          <w:kern w:val="0"/>
          <w:sz w:val="32"/>
          <w:szCs w:val="32"/>
        </w:rPr>
        <w:t>（共计11项）</w:t>
      </w:r>
    </w:p>
    <w:tbl>
      <w:tblPr>
        <w:tblW w:w="13735" w:type="dxa"/>
        <w:tblInd w:w="87" w:type="dxa"/>
        <w:tblLayout w:type="fixed"/>
        <w:tblLook w:val="04A0"/>
      </w:tblPr>
      <w:tblGrid>
        <w:gridCol w:w="539"/>
        <w:gridCol w:w="938"/>
        <w:gridCol w:w="1624"/>
        <w:gridCol w:w="2002"/>
        <w:gridCol w:w="1553"/>
        <w:gridCol w:w="3752"/>
        <w:gridCol w:w="3327"/>
      </w:tblGrid>
      <w:tr w:rsidR="006762C4" w:rsidRPr="006762C4" w:rsidTr="006762C4">
        <w:trPr>
          <w:trHeight w:val="794"/>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序</w:t>
            </w:r>
          </w:p>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号</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行政审</w:t>
            </w:r>
          </w:p>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批部门</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中介服务</w:t>
            </w:r>
          </w:p>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事项编码</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中介服务</w:t>
            </w:r>
          </w:p>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事项名称</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ind w:leftChars="-50" w:left="-105" w:rightChars="-50" w:right="-105"/>
              <w:jc w:val="center"/>
              <w:rPr>
                <w:rFonts w:ascii="宋体" w:eastAsia="宋体" w:hAnsi="宋体" w:cs="宋体"/>
                <w:kern w:val="0"/>
                <w:sz w:val="24"/>
                <w:szCs w:val="24"/>
              </w:rPr>
            </w:pPr>
            <w:r w:rsidRPr="006762C4">
              <w:rPr>
                <w:rFonts w:ascii="黑体" w:eastAsia="黑体" w:hAnsi="宋体" w:cs="宋体" w:hint="eastAsia"/>
                <w:spacing w:val="-8"/>
                <w:sz w:val="24"/>
                <w:szCs w:val="24"/>
              </w:rPr>
              <w:t>涉及的行政审批事项项目名称</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中介服务事项设置依据</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黑体" w:eastAsia="黑体" w:hAnsi="宋体" w:cs="宋体" w:hint="eastAsia"/>
                <w:sz w:val="24"/>
                <w:szCs w:val="24"/>
              </w:rPr>
              <w:t>处理决定</w:t>
            </w:r>
          </w:p>
        </w:tc>
      </w:tr>
      <w:tr w:rsidR="006762C4" w:rsidRPr="006762C4" w:rsidTr="006762C4">
        <w:trPr>
          <w:trHeight w:val="767"/>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t>1</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市发展和改革委员会</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02-01-003-01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固定资产投资项目节能报告编制</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固定资产投资项目节能评估和审查</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80" w:lineRule="exact"/>
              <w:jc w:val="left"/>
              <w:rPr>
                <w:rFonts w:ascii="宋体" w:eastAsia="宋体" w:hAnsi="宋体" w:cs="宋体"/>
                <w:kern w:val="0"/>
                <w:sz w:val="24"/>
                <w:szCs w:val="24"/>
              </w:rPr>
            </w:pPr>
            <w:r w:rsidRPr="006762C4">
              <w:rPr>
                <w:rFonts w:ascii="宋体" w:eastAsia="宋体" w:hAnsi="宋体" w:cs="宋体" w:hint="eastAsia"/>
                <w:sz w:val="24"/>
                <w:szCs w:val="24"/>
              </w:rPr>
              <w:t>《中华人民共和国节约能源法》第十五条：“政府投资项目不符合强制性节能标准的，依法负责项目审批的机关不得批准建设”；《固定资产投资项目节能审查办法》（国家发展改革委令第44号）第七条：“建设单位应编制固定资产投资项目节能报告。”</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申请人可按要求自行编制节能评估相关材料，也可委托有关机构编制，审批部门不得以任何形式要求申请人必须委托特定中介机构提供服务；保留审批部门现有的固定资产投资项目节能评估文件技术评估、评审。</w:t>
            </w:r>
          </w:p>
        </w:tc>
      </w:tr>
      <w:tr w:rsidR="006762C4" w:rsidRPr="006762C4" w:rsidTr="006762C4">
        <w:trPr>
          <w:trHeight w:val="3533"/>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lastRenderedPageBreak/>
              <w:t>2</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市人民防空办公室</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33-04-001-01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人民防空工程竣工验收前人防设备质量检测</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人防工程竣工验收认证</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80" w:lineRule="exact"/>
              <w:jc w:val="left"/>
              <w:rPr>
                <w:rFonts w:ascii="宋体" w:eastAsia="宋体" w:hAnsi="宋体" w:cs="宋体"/>
                <w:kern w:val="0"/>
                <w:sz w:val="24"/>
                <w:szCs w:val="24"/>
              </w:rPr>
            </w:pPr>
            <w:r w:rsidRPr="006762C4">
              <w:rPr>
                <w:rFonts w:ascii="宋体" w:eastAsia="宋体" w:hAnsi="宋体" w:cs="宋体" w:hint="eastAsia"/>
                <w:sz w:val="24"/>
                <w:szCs w:val="24"/>
              </w:rPr>
              <w:t>《国家人防办关于印发&lt;人民防空专用设备生产安装管理暂行办法&gt;的通知》（国人防〔2014〕438号）第十九条：“人民防空工程建设单位在工程竣工验收前，应当委托人民防空防护（防化、信息系统）设备产品质量检测（验）机构对所安装的人防设备进行检测（验）。检测（验）机构出具的检测（验）报告为竣工验收依据。”</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工程竣工备案时，建设单位按照国家人防办制定的标准要求，可对人防设备自行组织检测，也可委托有关机构检测，检测资料纳入工程竣工验收报告。</w:t>
            </w:r>
          </w:p>
        </w:tc>
      </w:tr>
      <w:tr w:rsidR="006762C4" w:rsidRPr="006762C4" w:rsidTr="006762C4">
        <w:trPr>
          <w:trHeight w:val="2685"/>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t>3</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市住房和城乡建设局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14-01-004-01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从事管道燃气经营的企业燃气经营许可证燃气质量检测报告</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燃气经营许可</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20" w:lineRule="exact"/>
              <w:jc w:val="left"/>
              <w:rPr>
                <w:rFonts w:ascii="宋体" w:eastAsia="宋体" w:hAnsi="宋体" w:cs="宋体"/>
                <w:kern w:val="0"/>
                <w:sz w:val="24"/>
                <w:szCs w:val="24"/>
              </w:rPr>
            </w:pPr>
            <w:r w:rsidRPr="006762C4">
              <w:rPr>
                <w:rFonts w:ascii="宋体" w:eastAsia="宋体" w:hAnsi="宋体" w:cs="宋体" w:hint="eastAsia"/>
                <w:spacing w:val="-6"/>
                <w:sz w:val="24"/>
                <w:szCs w:val="24"/>
              </w:rPr>
              <w:t>《城镇燃气管理条例》（国务院令第583号）第十五条：“从事燃气经营活动的企业，应当具备下列条件：（二）有符合国家标准的燃气气源和燃气设施”；《河南省城镇燃气管理办法》（省政府令第158号）第十三条：“申请燃气经营许可证,应当向燃气主管部门提交下列材料:（九）燃气质量检测报告。”</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不再要求申请人提供质量检测报告。</w:t>
            </w:r>
          </w:p>
        </w:tc>
      </w:tr>
      <w:tr w:rsidR="006762C4" w:rsidRPr="006762C4" w:rsidTr="006762C4">
        <w:trPr>
          <w:trHeight w:val="2299"/>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lastRenderedPageBreak/>
              <w:t>4</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市安全生产监督管理局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30-05-004（005）-01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用于生产、储存、装卸危险物品建设项目安全预评价报告编制</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危险化学品建设项目安全设施设计审查；烟花爆竹储存建设项目安全设施设计审查</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《中华人民共和国安全生产法》</w:t>
            </w:r>
          </w:p>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注：审查工作中要求申请人委托有关机构出具用于生产、储存、装卸危险物品的建设项目预评价报告</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20" w:lineRule="exact"/>
              <w:jc w:val="left"/>
              <w:rPr>
                <w:rFonts w:ascii="宋体" w:eastAsia="宋体" w:hAnsi="宋体" w:cs="宋体"/>
                <w:kern w:val="0"/>
                <w:sz w:val="24"/>
                <w:szCs w:val="24"/>
              </w:rPr>
            </w:pPr>
            <w:r w:rsidRPr="006762C4">
              <w:rPr>
                <w:rFonts w:ascii="宋体" w:eastAsia="宋体" w:hAnsi="宋体" w:cs="宋体" w:hint="eastAsia"/>
                <w:sz w:val="24"/>
                <w:szCs w:val="24"/>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要求对安全设施设计文件进行严格审查。</w:t>
            </w:r>
          </w:p>
        </w:tc>
      </w:tr>
      <w:tr w:rsidR="006762C4" w:rsidRPr="006762C4" w:rsidTr="006762C4">
        <w:trPr>
          <w:trHeight w:val="2299"/>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t>5</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市安全生产监督管理局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30-05-006-01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金属冶炼建设项目安全预评价报告编制</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pacing w:val="-4"/>
                <w:sz w:val="24"/>
                <w:szCs w:val="24"/>
              </w:rPr>
              <w:t>金属冶炼建设项目安全设施设计审查</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pacing w:val="-4"/>
                <w:sz w:val="24"/>
                <w:szCs w:val="24"/>
              </w:rPr>
              <w:t>《中华人民共和国安全生产法》</w:t>
            </w:r>
          </w:p>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pacing w:val="-4"/>
                <w:sz w:val="24"/>
                <w:szCs w:val="24"/>
              </w:rPr>
              <w:t>注：审查工作中要求申请人委托有关机构出具金属冶炼建设项目预评价报告</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20" w:lineRule="exact"/>
              <w:jc w:val="left"/>
              <w:rPr>
                <w:rFonts w:ascii="宋体" w:eastAsia="宋体" w:hAnsi="宋体" w:cs="宋体"/>
                <w:kern w:val="0"/>
                <w:sz w:val="24"/>
                <w:szCs w:val="24"/>
              </w:rPr>
            </w:pPr>
            <w:r w:rsidRPr="006762C4">
              <w:rPr>
                <w:rFonts w:ascii="宋体" w:eastAsia="宋体" w:hAnsi="宋体" w:cs="宋体" w:hint="eastAsia"/>
                <w:sz w:val="24"/>
                <w:szCs w:val="24"/>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要求对安全设施设计文件进行严格审查。</w:t>
            </w:r>
          </w:p>
        </w:tc>
      </w:tr>
      <w:tr w:rsidR="006762C4" w:rsidRPr="006762C4" w:rsidTr="006762C4">
        <w:trPr>
          <w:trHeight w:val="3115"/>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lastRenderedPageBreak/>
              <w:t>6</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市安全生产监督管理局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30-01-003-01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职业卫生技术服务机构专职技术人员、专职技术负责人、质量控制负责人的培训合格证书</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职业卫生技术服务机构资质证书（丙级）</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职业卫生技术服务机构监督管理暂行办法》（安全监管总局令第50号）第十七条：“申请职业卫生技术服务机构资质认可，应当提交下列文件、资料：（五）专职技术人员、专职技术负责人、质量控制负责人的名单及其培训合格证书、技术职称证书、工作经历证明。”</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对申请职业卫生技术服务机构（除煤矿外）丙级资质的，申请机构可按要求自行培训，也可委托有关机构培训，取得合格证书。安全监管部门不得以任何形式要求申请人必须委托特定中介机构提供服务。</w:t>
            </w:r>
          </w:p>
        </w:tc>
      </w:tr>
      <w:tr w:rsidR="006762C4" w:rsidRPr="006762C4" w:rsidTr="006762C4">
        <w:trPr>
          <w:trHeight w:val="2443"/>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t>7</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市质量技术监督局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26-01-003-01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pacing w:val="-4"/>
                <w:sz w:val="24"/>
                <w:szCs w:val="24"/>
              </w:rPr>
              <w:t>移动式压力容器、气瓶充装许可（车用气瓶充装单位除外）鉴定评审</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移动式压力容器、气瓶充装单位（车用气瓶充装单位除外）许可</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《气瓶充装许可规则》（国家质量监督检验检疫总局TSG R4001-2006）、《移动式压力容器充装许可规则》（TSG R4002-2011）。</w:t>
            </w:r>
          </w:p>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注：审批工作中要求申请人委托有关机构开展鉴定评审</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不再要求申请人提供相关材料，改为由审批部门根据审批工作需要自行委托有关机构开展技术性服务。服务费用一律由审批部门支付并纳入部门预算。</w:t>
            </w:r>
          </w:p>
        </w:tc>
      </w:tr>
      <w:tr w:rsidR="006762C4" w:rsidRPr="006762C4" w:rsidTr="006762C4">
        <w:trPr>
          <w:trHeight w:val="3016"/>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lastRenderedPageBreak/>
              <w:t>8</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市质量技术监督局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26-01-003-02</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移动式压力容器、气瓶充装许可（车用气瓶充装单位除外）证件补办声明</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移动式压力容器、气瓶充装单位（车用气瓶充装单位除外）许可</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质量监督检验检疫行政许可实施办法》（质检总局令第149号）第三十八条：“因行政许可证件遗失或者损毁，被许可人申请补办的，应当按照要求在公开发行的报刊上刊登行政许可证件补办声明。声明中应当明确补办原因、60日异议期限、异议受理电话等内容。”</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对移动式压力容器、气瓶充装许可（车用气瓶充装单位除外）证件遗失或者损毁申请补办的，不再要求申请人提供补办声明。</w:t>
            </w:r>
          </w:p>
        </w:tc>
      </w:tr>
      <w:tr w:rsidR="006762C4" w:rsidRPr="006762C4" w:rsidTr="006762C4">
        <w:trPr>
          <w:trHeight w:val="2340"/>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t>9</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市质量技术监督局</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26-06-020-01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特种设备作业人员资格许可证件补办声明</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特种设备作业人员考核</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质量监督检验检疫行政许可实施办法》（质检总局令第149号）第三十八条：“因行政许可证件遗失或者损毁，被许可人申请补办的，应当按照要求在公开发行的报刊上刊登行政许可证件补办声明。声明中应当明确补办原因、60日异议期限、异议受理电话等内容。”</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对特种设备作业人员资格许可证件遗失或者损毁申请补办的，不再要求申请人提供补办声明。</w:t>
            </w:r>
          </w:p>
        </w:tc>
      </w:tr>
      <w:tr w:rsidR="006762C4" w:rsidRPr="006762C4" w:rsidTr="006762C4">
        <w:trPr>
          <w:trHeight w:val="1845"/>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t>10</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市卫生和计划生育委员会</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21-01-004-02</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集中空调通风系统卫生检测或者评价</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公共场所卫生许可</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pacing w:val="4"/>
                <w:sz w:val="24"/>
                <w:szCs w:val="24"/>
              </w:rPr>
              <w:t>《公共场所卫生管理条例实施细则》第二十三条：“公共场所经营者申请卫生许可证的，应当提交下列资料:使用集中空调通风系统的，还应当提供集中空调通风系统卫生检测或者评价报告。”</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申请人提供检测或评价报告，可按照要求自行编制，也可委托有关机构编制。审批部门不得以任何形式要求申请人必须委托特定中介服务机构提供服务。保留审批部门现有的</w:t>
            </w:r>
            <w:r w:rsidRPr="006762C4">
              <w:rPr>
                <w:rFonts w:ascii="宋体" w:eastAsia="宋体" w:hAnsi="宋体" w:cs="宋体" w:hint="eastAsia"/>
                <w:sz w:val="24"/>
                <w:szCs w:val="24"/>
              </w:rPr>
              <w:lastRenderedPageBreak/>
              <w:t>技术评审评估。</w:t>
            </w:r>
          </w:p>
        </w:tc>
      </w:tr>
      <w:tr w:rsidR="006762C4" w:rsidRPr="006762C4" w:rsidTr="006762C4">
        <w:trPr>
          <w:trHeight w:val="3165"/>
        </w:trPr>
        <w:tc>
          <w:tcPr>
            <w:tcW w:w="539" w:type="dxa"/>
            <w:tcBorders>
              <w:top w:val="single" w:sz="4" w:space="0" w:color="auto"/>
              <w:left w:val="single" w:sz="4" w:space="0" w:color="auto"/>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center"/>
              <w:rPr>
                <w:rFonts w:ascii="宋体" w:eastAsia="宋体" w:hAnsi="宋体" w:cs="宋体"/>
                <w:kern w:val="0"/>
                <w:sz w:val="24"/>
                <w:szCs w:val="24"/>
              </w:rPr>
            </w:pPr>
            <w:r w:rsidRPr="006762C4">
              <w:rPr>
                <w:rFonts w:ascii="宋体" w:eastAsia="宋体" w:hAnsi="宋体" w:cs="宋体" w:hint="eastAsia"/>
                <w:sz w:val="24"/>
                <w:szCs w:val="24"/>
              </w:rPr>
              <w:lastRenderedPageBreak/>
              <w:t>11</w:t>
            </w:r>
          </w:p>
        </w:tc>
        <w:tc>
          <w:tcPr>
            <w:tcW w:w="938"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市住房管理中心</w:t>
            </w:r>
          </w:p>
        </w:tc>
        <w:tc>
          <w:tcPr>
            <w:tcW w:w="1624"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37-01-001-01（37-04-003-01）</w:t>
            </w:r>
          </w:p>
        </w:tc>
        <w:tc>
          <w:tcPr>
            <w:tcW w:w="200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房屋测绘</w:t>
            </w:r>
          </w:p>
        </w:tc>
        <w:tc>
          <w:tcPr>
            <w:tcW w:w="1553"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商品房预售许可证审批；楼盘表管理</w:t>
            </w:r>
          </w:p>
        </w:tc>
        <w:tc>
          <w:tcPr>
            <w:tcW w:w="3752"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城市商品房预售管理办法》第七条：“开发企业申请预售许可，应当提交下列证件（复印件）及资料：（六）商品房预售方案。预售方案应当说明预售商品房的位置、面积、竣工交付日期等内容，并应当附预售商品房分层平面图。”</w:t>
            </w:r>
          </w:p>
        </w:tc>
        <w:tc>
          <w:tcPr>
            <w:tcW w:w="3327" w:type="dxa"/>
            <w:tcBorders>
              <w:top w:val="single" w:sz="4" w:space="0" w:color="auto"/>
              <w:left w:val="nil"/>
              <w:bottom w:val="single" w:sz="4" w:space="0" w:color="auto"/>
              <w:right w:val="single" w:sz="4" w:space="0" w:color="auto"/>
            </w:tcBorders>
            <w:vAlign w:val="center"/>
            <w:hideMark/>
          </w:tcPr>
          <w:p w:rsidR="006762C4" w:rsidRPr="006762C4" w:rsidRDefault="006762C4" w:rsidP="006762C4">
            <w:pPr>
              <w:widowControl/>
              <w:spacing w:before="100" w:beforeAutospacing="1" w:after="100" w:afterAutospacing="1" w:line="360" w:lineRule="exact"/>
              <w:jc w:val="left"/>
              <w:rPr>
                <w:rFonts w:ascii="宋体" w:eastAsia="宋体" w:hAnsi="宋体" w:cs="宋体"/>
                <w:kern w:val="0"/>
                <w:sz w:val="24"/>
                <w:szCs w:val="24"/>
              </w:rPr>
            </w:pPr>
            <w:r w:rsidRPr="006762C4">
              <w:rPr>
                <w:rFonts w:ascii="宋体" w:eastAsia="宋体" w:hAnsi="宋体" w:cs="宋体" w:hint="eastAsia"/>
                <w:sz w:val="24"/>
                <w:szCs w:val="24"/>
              </w:rPr>
              <w:t>申请人提供房屋测绘报告，可按照要求自行编制，也可委托有关机构编制。审批部门不得以任何形式要求申请人必须委托特定中介服务机构提供服务。保留审批部门现有的技术评审评估。</w:t>
            </w:r>
          </w:p>
        </w:tc>
      </w:tr>
    </w:tbl>
    <w:p w:rsidR="00872122" w:rsidRDefault="00872122"/>
    <w:sectPr w:rsidR="00872122" w:rsidSect="006762C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62C4"/>
    <w:rsid w:val="006762C4"/>
    <w:rsid w:val="00872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128394">
      <w:bodyDiv w:val="1"/>
      <w:marLeft w:val="0"/>
      <w:marRight w:val="0"/>
      <w:marTop w:val="0"/>
      <w:marBottom w:val="0"/>
      <w:divBdr>
        <w:top w:val="none" w:sz="0" w:space="0" w:color="auto"/>
        <w:left w:val="none" w:sz="0" w:space="0" w:color="auto"/>
        <w:bottom w:val="none" w:sz="0" w:space="0" w:color="auto"/>
        <w:right w:val="none" w:sz="0" w:space="0" w:color="auto"/>
      </w:divBdr>
      <w:divsChild>
        <w:div w:id="224416951">
          <w:marLeft w:val="0"/>
          <w:marRight w:val="0"/>
          <w:marTop w:val="0"/>
          <w:marBottom w:val="0"/>
          <w:divBdr>
            <w:top w:val="none" w:sz="0" w:space="0" w:color="auto"/>
            <w:left w:val="none" w:sz="0" w:space="0" w:color="auto"/>
            <w:bottom w:val="none" w:sz="0" w:space="0" w:color="auto"/>
            <w:right w:val="none" w:sz="0" w:space="0" w:color="auto"/>
          </w:divBdr>
        </w:div>
      </w:divsChild>
    </w:div>
    <w:div w:id="810172471">
      <w:bodyDiv w:val="1"/>
      <w:marLeft w:val="0"/>
      <w:marRight w:val="0"/>
      <w:marTop w:val="0"/>
      <w:marBottom w:val="0"/>
      <w:divBdr>
        <w:top w:val="none" w:sz="0" w:space="0" w:color="auto"/>
        <w:left w:val="none" w:sz="0" w:space="0" w:color="auto"/>
        <w:bottom w:val="none" w:sz="0" w:space="0" w:color="auto"/>
        <w:right w:val="none" w:sz="0" w:space="0" w:color="auto"/>
      </w:divBdr>
      <w:divsChild>
        <w:div w:id="94229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2019-11-05T06:52:00Z</dcterms:created>
  <dcterms:modified xsi:type="dcterms:W3CDTF">2019-11-05T06:53:00Z</dcterms:modified>
</cp:coreProperties>
</file>